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HIPAA BUSINESS ASSOCIATE AGREEMENT</w:t>
      </w:r>
    </w:p>
    <w:p>
      <w:pPr>
        <w:spacing w:after="160"/>
      </w:pPr>
      <w:r>
        <w:rPr>
          <w:rFonts w:ascii="Times New Roman" w:hAnsi="Times New Roman" w:cs="Times New Roman"/>
        </w:rPr>
        <w:t xml:space="preserve">This HIPAA Business Associate Agreement (the "Agreement") is entered into as of [Effective Date] (the "Effective Date"), by and between:</w:t>
      </w:r>
    </w:p>
    <w:p>
      <w:pPr>
        <w:spacing w:after="160"/>
      </w:pPr>
      <w:r>
        <w:rPr>
          <w:rFonts w:ascii="Times New Roman" w:hAnsi="Times New Roman" w:cs="Times New Roman"/>
        </w:rPr>
        <w:t xml:space="preserve">[Party A], a corporation ("Covered Entity"), and</w:t>
      </w:r>
    </w:p>
    <w:p>
      <w:pPr>
        <w:spacing w:after="160"/>
      </w:pPr>
      <w:r>
        <w:rPr>
          <w:rFonts w:ascii="Times New Roman" w:hAnsi="Times New Roman" w:cs="Times New Roman"/>
        </w:rPr>
        <w:t xml:space="preserve">[Party B], a corporation ("Business Associate").</w:t>
      </w:r>
    </w:p>
    <w:p>
      <w:pPr>
        <w:spacing w:after="160"/>
      </w:pPr>
      <w:r>
        <w:rPr>
          <w:rFonts w:ascii="Times New Roman" w:hAnsi="Times New Roman" w:cs="Times New Roman"/>
        </w:rPr>
        <w:t xml:space="preserve">The Covered Entity will share protected health information with the Business Associate so the Business Associate can perform the underlying agreement, and the Business Associate accepts the limits in this Agreement.</w:t>
      </w:r>
    </w:p>
    <w:p>
      <w:pPr>
        <w:spacing w:after="160"/>
      </w:pPr>
      <w:r>
        <w:rPr>
          <w:rFonts w:ascii="Times New Roman" w:hAnsi="Times New Roman" w:cs="Times New Roman"/>
        </w:rPr>
        <w:t xml:space="preserve">1. Underlying Agreement. The Parties are entering this Agreement in connection with [underlying agreement] (the "Underlying Agreement"). If this Agreement and the Underlying Agreement conflict on protected health information, this Agreement controls.</w:t>
      </w:r>
    </w:p>
    <w:p>
      <w:pPr>
        <w:spacing w:after="160"/>
      </w:pPr>
      <w:r>
        <w:rPr>
          <w:rFonts w:ascii="Times New Roman" w:hAnsi="Times New Roman" w:cs="Times New Roman"/>
        </w:rPr>
        <w:t xml:space="preserve">2. Permitted Uses. The Business Associate may use and disclose protected health information only to perform the Underlying Agreement, and for its own management and legal duties that cannot be done without the information. The Business Associate will not use or disclose the information in a way the Covered Entity is not allowed to, and will not sell it or use it for the Business Associate's own marketing.</w:t>
      </w:r>
    </w:p>
    <w:p>
      <w:pPr>
        <w:spacing w:after="160"/>
      </w:pPr>
      <w:r>
        <w:rPr>
          <w:rFonts w:ascii="Times New Roman" w:hAnsi="Times New Roman" w:cs="Times New Roman"/>
        </w:rPr>
        <w:t xml:space="preserve">3. Safeguards. The Business Associate will use administrative, physical, and technical safeguards that reasonably protect the information, and will limit access to people who need it for the work.</w:t>
      </w:r>
    </w:p>
    <w:p>
      <w:pPr>
        <w:spacing w:after="160"/>
      </w:pPr>
      <w:r>
        <w:rPr>
          <w:rFonts w:ascii="Times New Roman" w:hAnsi="Times New Roman" w:cs="Times New Roman"/>
        </w:rPr>
        <w:t xml:space="preserve">4. Breach Notice. The Business Associate will notify the Covered Entity of a breach of unsecured protected health information without unreasonable delay and within the time HIPAA requires. The notice will describe what happened, the kinds of information involved, and what the Business Associate is doing in response, as far as the Business Associate knows.</w:t>
      </w:r>
    </w:p>
    <w:p>
      <w:pPr>
        <w:spacing w:after="160"/>
      </w:pPr>
      <w:r>
        <w:rPr>
          <w:rFonts w:ascii="Times New Roman" w:hAnsi="Times New Roman" w:cs="Times New Roman"/>
        </w:rPr>
        <w:t xml:space="preserve">5. Further Subcontractors. The Business Associate will not let another person or company handle the protected health information unless that person or company first agrees in writing to limits at least as strict as this Agreement.</w:t>
      </w:r>
    </w:p>
    <w:p>
      <w:pPr>
        <w:spacing w:after="160"/>
      </w:pPr>
      <w:r>
        <w:rPr>
          <w:rFonts w:ascii="Times New Roman" w:hAnsi="Times New Roman" w:cs="Times New Roman"/>
        </w:rPr>
        <w:t xml:space="preserve">6. Access, Amendment, and Accounting. The Business Associate will help the Covered Entity answer a person's request for access, an amendment, or an accounting of disclosures, in the time and manner HIPAA requires of the Covered Entity.</w:t>
      </w:r>
    </w:p>
    <w:p>
      <w:pPr>
        <w:spacing w:after="160"/>
      </w:pPr>
      <w:r>
        <w:rPr>
          <w:rFonts w:ascii="Times New Roman" w:hAnsi="Times New Roman" w:cs="Times New Roman"/>
        </w:rPr>
        <w:t xml:space="preserve">7. Records for HHS. The Business Associate will make its practices, books, and records about the protected health information available to the U.S. Department of Health and Human Services for a review that office is authorized to conduct.</w:t>
      </w:r>
    </w:p>
    <w:p>
      <w:pPr>
        <w:spacing w:after="160"/>
      </w:pPr>
      <w:r>
        <w:rPr>
          <w:rFonts w:ascii="Times New Roman" w:hAnsi="Times New Roman" w:cs="Times New Roman"/>
        </w:rPr>
        <w:t xml:space="preserve">8. Return or Destruction. When this Agreement ends, the Business Associate will return or destroy the protected health information it still holds, if that is feasible. If it is not feasible, the Business Associate will keep protecting the information and use it only for the reason return or destruction cannot be done.</w:t>
      </w:r>
    </w:p>
    <w:p>
      <w:pPr>
        <w:spacing w:after="160"/>
      </w:pPr>
      <w:r>
        <w:rPr>
          <w:rFonts w:ascii="Times New Roman" w:hAnsi="Times New Roman" w:cs="Times New Roman"/>
        </w:rPr>
        <w:t xml:space="preserve">9. Termination. The Covered Entity may end this Agreement if the Business Associate materially breaches it and does not cure the breach within a reasonable time after written notice. If the breach cannot be cured, the Covered Entity may end this Agreement immediately.</w:t>
      </w:r>
    </w:p>
    <w:p>
      <w:pPr>
        <w:spacing w:after="160"/>
      </w:pPr>
      <w:r>
        <w:rPr>
          <w:rFonts w:ascii="Times New Roman" w:hAnsi="Times New Roman" w:cs="Times New Roman"/>
        </w:rPr>
        <w:t xml:space="preserve">10. Survival. Duties that must continue after this Agreement ends do survive. That includes the limits on protected health information the Business Associate still holds, and the duty to make records available to HHS.</w:t>
      </w:r>
    </w:p>
    <w:p>
      <w:pPr>
        <w:spacing w:after="160"/>
      </w:pPr>
      <w:r>
        <w:rPr>
          <w:rFonts w:ascii="Times New Roman" w:hAnsi="Times New Roman" w:cs="Times New Roman"/>
        </w:rPr>
        <w:t xml:space="preserve">11.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12. General. This Agreement covers protected health information handled under the Underlying Agreement.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Covered Entity: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Business Associate: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