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MEMORANDUM OF UNDERSTANDING</w:t>
      </w:r>
    </w:p>
    <w:p>
      <w:pPr>
        <w:spacing w:after="160"/>
      </w:pPr>
      <w:r>
        <w:rPr>
          <w:rFonts w:ascii="Times New Roman" w:hAnsi="Times New Roman" w:cs="Times New Roman"/>
        </w:rPr>
        <w:t xml:space="preserve">This Memorandum of Understanding (the "Memorandum") is entered into as of [Effective Date] (the "Effective Date"), by and between:</w:t>
      </w:r>
    </w:p>
    <w:p>
      <w:pPr>
        <w:spacing w:after="160"/>
      </w:pPr>
      <w:r>
        <w:rPr>
          <w:rFonts w:ascii="Times New Roman" w:hAnsi="Times New Roman" w:cs="Times New Roman"/>
        </w:rPr>
        <w:t xml:space="preserve">[Party A], a corporation ("Lead"), and</w:t>
      </w:r>
    </w:p>
    <w:p>
      <w:pPr>
        <w:spacing w:after="160"/>
      </w:pPr>
      <w:r>
        <w:rPr>
          <w:rFonts w:ascii="Times New Roman" w:hAnsi="Times New Roman" w:cs="Times New Roman"/>
        </w:rPr>
        <w:t xml:space="preserve">[Party B], a corporation ("Collaborator").</w:t>
      </w:r>
    </w:p>
    <w:p>
      <w:pPr>
        <w:spacing w:after="160"/>
      </w:pPr>
      <w:r>
        <w:rPr>
          <w:rFonts w:ascii="Times New Roman" w:hAnsi="Times New Roman" w:cs="Times New Roman"/>
        </w:rPr>
        <w:t xml:space="preserve">The parties record talks about a possible collaboration. A definitive agreement is still required before either party must carry out that collaboration.</w:t>
      </w:r>
    </w:p>
    <w:p>
      <w:pPr>
        <w:spacing w:after="160"/>
      </w:pPr>
      <w:r>
        <w:rPr>
          <w:rFonts w:ascii="Times New Roman" w:hAnsi="Times New Roman" w:cs="Times New Roman"/>
        </w:rPr>
        <w:t xml:space="preserve">1. Objective. The parties hope to explore [objective]. This section is not binding. It does not require either party to proceed, to contribute, or to keep negotiating.</w:t>
      </w:r>
    </w:p>
    <w:p>
      <w:pPr>
        <w:spacing w:after="160"/>
      </w:pPr>
      <w:r>
        <w:rPr>
          <w:rFonts w:ascii="Times New Roman" w:hAnsi="Times New Roman" w:cs="Times New Roman"/>
        </w:rPr>
        <w:t xml:space="preserve">2. Contributions. The parties currently expect the following contributions: [expected contributions]. This section records that expectation only. It is not a promise to pay, to deliver property, or to perform work.</w:t>
      </w:r>
    </w:p>
    <w:p>
      <w:pPr>
        <w:spacing w:after="160"/>
      </w:pPr>
      <w:r>
        <w:rPr>
          <w:rFonts w:ascii="Times New Roman" w:hAnsi="Times New Roman" w:cs="Times New Roman"/>
        </w:rPr>
        <w:t xml:space="preserve">3. Definitive agreement. The collaboration itself requires a definitive agreement signed by both parties. This Memorandum does not require either party to sign that agreement, to agree to any particular term, or to continue the talks.</w:t>
      </w:r>
    </w:p>
    <w:p>
      <w:pPr>
        <w:spacing w:after="160"/>
      </w:pPr>
      <w:r>
        <w:rPr>
          <w:rFonts w:ascii="Times New Roman" w:hAnsi="Times New Roman" w:cs="Times New Roman"/>
        </w:rPr>
        <w:t xml:space="preserve">4. Confidentiality. Each party will keep the other's non-public information confidential, use it only for these talks, and protect it with reasonable care for two years. This duty does not cover information that is public, already known, independently developed, or required by law to be disclosed. This section is binding.</w:t>
      </w:r>
    </w:p>
    <w:p>
      <w:pPr>
        <w:spacing w:after="160"/>
      </w:pPr>
      <w:r>
        <w:rPr>
          <w:rFonts w:ascii="Times New Roman" w:hAnsi="Times New Roman" w:cs="Times New Roman"/>
        </w:rPr>
        <w:t xml:space="preserve">5. Duration. The parties expect these talks to last [expected duration]. That timing is not a promise to keep negotiating, and it does not by itself end a section that this Memorandum says is binding.</w:t>
      </w:r>
    </w:p>
    <w:p>
      <w:pPr>
        <w:spacing w:after="160"/>
      </w:pPr>
      <w:r>
        <w:rPr>
          <w:rFonts w:ascii="Times New Roman" w:hAnsi="Times New Roman" w:cs="Times New Roman"/>
        </w:rPr>
        <w:t xml:space="preserve">6. Ending the talks. Either party may end the non-binding part of this Memorandum by written notice, for any reason. Ending it does not by itself create liability. A section this Memorandum says is binding continues for the time that section states.</w:t>
      </w:r>
    </w:p>
    <w:p>
      <w:pPr>
        <w:spacing w:after="160"/>
      </w:pPr>
      <w:r>
        <w:rPr>
          <w:rFonts w:ascii="Times New Roman" w:hAnsi="Times New Roman" w:cs="Times New Roman"/>
        </w:rPr>
        <w:t xml:space="preserve">7. Effect. Only Confidentiality and Governing Law create duties between the parties. This Effect section is binding only to state that limit. Sections that this Memorandum does not make binding create no duty to pay, to perform the collaboration, or to sign a definitive agreement. Either party may end those sections by written notice. The General section explains how this Memorandum is read and amended. It does not make a non-binding section binding.</w:t>
      </w:r>
    </w:p>
    <w:p>
      <w:pPr>
        <w:spacing w:after="160"/>
      </w:pPr>
      <w:r>
        <w:rPr>
          <w:rFonts w:ascii="Times New Roman" w:hAnsi="Times New Roman" w:cs="Times New Roman"/>
        </w:rPr>
        <w:t xml:space="preserve">8. Governing Law. This Memorandum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9. General. This Memorandum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Lead: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Collaborator: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