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MUTUAL NON-DISCLOSURE AGREEMENT</w:t>
      </w:r>
    </w:p>
    <w:p>
      <w:pPr>
        <w:spacing w:after="160"/>
      </w:pPr>
      <w:r>
        <w:rPr>
          <w:rFonts w:ascii="Times New Roman" w:hAnsi="Times New Roman" w:cs="Times New Roman"/>
        </w:rPr>
        <w:t xml:space="preserve">This Mutual Non-Disclosure Agreement (the "Agreement") is entered into as of [Effective Date] (the "Effective Date"), by and between:</w:t>
      </w:r>
    </w:p>
    <w:p>
      <w:pPr>
        <w:spacing w:after="160"/>
      </w:pPr>
      <w:r>
        <w:rPr>
          <w:rFonts w:ascii="Times New Roman" w:hAnsi="Times New Roman" w:cs="Times New Roman"/>
        </w:rPr>
        <w:t xml:space="preserve">[Party A], a corporation ("Party A"), and</w:t>
      </w:r>
    </w:p>
    <w:p>
      <w:pPr>
        <w:spacing w:after="160"/>
      </w:pPr>
      <w:r>
        <w:rPr>
          <w:rFonts w:ascii="Times New Roman" w:hAnsi="Times New Roman" w:cs="Times New Roman"/>
        </w:rPr>
        <w:t xml:space="preserve">[Party B], a corporation ("Party B").</w:t>
      </w:r>
    </w:p>
    <w:p>
      <w:pPr>
        <w:spacing w:after="160"/>
      </w:pPr>
      <w:r>
        <w:rPr>
          <w:rFonts w:ascii="Times New Roman" w:hAnsi="Times New Roman" w:cs="Times New Roman"/>
        </w:rPr>
        <w:t xml:space="preserve">Party A and Party B may each be referred to as a "Party" and collectively as the "Parties." Each Party acts as the "Disclosing Party" when it discloses or makes available Confidential Information and as the "Receiving Party" when it receives Confidential Information.</w:t>
      </w:r>
    </w:p>
    <w:p>
      <w:pPr>
        <w:spacing w:after="160"/>
      </w:pPr>
      <w:r>
        <w:rPr>
          <w:rFonts w:ascii="Times New Roman" w:hAnsi="Times New Roman" w:cs="Times New Roman"/>
        </w:rPr>
        <w:t xml:space="preserve">1. Purpose. The Parties wish to evaluate a potential business relationship between the parties, and each Party may disclose or make available Confidential Information to the other in connection with that objective (the "Purpose").</w:t>
      </w:r>
    </w:p>
    <w:p>
      <w:pPr>
        <w:spacing w:after="160"/>
      </w:pPr>
      <w:r>
        <w:rPr>
          <w:rFonts w:ascii="Times New Roman" w:hAnsi="Times New Roman" w:cs="Times New Roman"/>
        </w:rPr>
        <w:t xml:space="preserve">2. Confidential Information. "Confidential Information" means information that the Disclosing Party discloses or makes available to the Receiving Party in connection with the Purpose and that the Disclosing Party identifies as confidential or proprietary, or that should reasonably be understood to be confidential or proprietary given its nature and the circumstances of disclosure. Confidential Information includes technical or business information, product designs or roadmaps, requirements, pricing, security and compliance documentation, technology, inventions, and know-how. Each Party's Confidential Information also includes the existence and status of the Parties' discussions and the terms of this Agreement.</w:t>
      </w:r>
    </w:p>
    <w:p>
      <w:pPr>
        <w:spacing w:after="160"/>
      </w:pPr>
      <w:r>
        <w:rPr>
          <w:rFonts w:ascii="Times New Roman" w:hAnsi="Times New Roman" w:cs="Times New Roman"/>
        </w:rPr>
        <w:t xml:space="preserve">3. Exceptions. The Receiving Party's obligations under this Agreement do not apply to information that it can demonstrate: (a) is or becomes publicly available through no fault of the Receiving Party; (b) it rightfully knew or possessed before receipt from the Disclosing Party without confidentiality restrictions; (c) it rightfully obtained from a third party without confidentiality restrictions; or (d) it independently developed without using or referencing the Confidential Information.</w:t>
      </w:r>
    </w:p>
    <w:p>
      <w:pPr>
        <w:spacing w:after="160"/>
      </w:pPr>
      <w:r>
        <w:rPr>
          <w:rFonts w:ascii="Times New Roman" w:hAnsi="Times New Roman" w:cs="Times New Roman"/>
        </w:rPr>
        <w:t xml:space="preserve">4. Use and Protection of Confidential Information. The Receiving Party shall: (a) use Confidential Information solely for the Purpose; (b) not disclose Confidential Information to third parties without the Disclosing Party's prior written approval, except that the Receiving Party may disclose Confidential Information to its employees, agents, advisors, contractors, and other representatives, including affiliates that control, are controlled by, or are under common control with the Receiving Party, who have a reasonable need to know for the Purpose, provided those representatives are bound by confidentiality obligations no less protective than this Agreement and the Receiving Party remains responsible for their compliance with this Agreement; and (c) protect Confidential Information using at least the same protections the Receiving Party uses for its own similar information, but no less than a reasonable standard of care.</w:t>
      </w:r>
    </w:p>
    <w:p>
      <w:pPr>
        <w:spacing w:after="160"/>
      </w:pPr>
      <w:r>
        <w:rPr>
          <w:rFonts w:ascii="Times New Roman" w:hAnsi="Times New Roman" w:cs="Times New Roman"/>
        </w:rPr>
        <w:t xml:space="preserve">5. Disclosures Required by Law. The Receiving Party may disclose Confidential Information to the extent required by law, regulation, regulatory authority, subpoena, or court order, provided that, to the extent legally permitted, it gives the Disclosing Party reasonable advance notice of the required disclosure and reasonably cooperates, at the Disclosing Party's expense, with the Disclosing Party's efforts to obtain confidential treatment for the Confidential Information.</w:t>
      </w:r>
    </w:p>
    <w:p>
      <w:pPr>
        <w:spacing w:after="160"/>
      </w:pPr>
      <w:r>
        <w:rPr>
          <w:rFonts w:ascii="Times New Roman" w:hAnsi="Times New Roman" w:cs="Times New Roman"/>
        </w:rPr>
        <w:t xml:space="preserve">6. Term and Termination. This Agreement commences on the Effective Date and continues for 2 years (the "Term"). Either Party may terminate this Agreement for any or no reason on written notice to the other Party. The Receiving Party's obligations relating to Confidential Information survive for 3 years after expiration or termination of this Agreement, and in the case of trade secrets, until the Confidential Information is no longer a trade secret under applicable law.</w:t>
      </w:r>
    </w:p>
    <w:p>
      <w:pPr>
        <w:spacing w:after="160"/>
      </w:pPr>
      <w:r>
        <w:rPr>
          <w:rFonts w:ascii="Times New Roman" w:hAnsi="Times New Roman" w:cs="Times New Roman"/>
        </w:rPr>
        <w:t xml:space="preserve">7. Return or Destruction of Confidential Information. On expiration or termination of this Agreement, or on the Disclosing Party's earlier request, the Receiving Party will: (a) cease using Confidential Information; (b) promptly after the Disclosing Party's written request, destroy all Confidential Information in its possession or control or return it to the Disclosing Party; and (c) if requested, confirm its compliance with these obligations in writing. As an exception to subsection (b), the Receiving Party may retain Confidential Information in accordance with its standard backup or record retention policies or as required by law, and this Agreement continues to apply to the retained Confidential Information.</w:t>
      </w:r>
    </w:p>
    <w:p>
      <w:pPr>
        <w:spacing w:after="160"/>
      </w:pPr>
      <w:r>
        <w:rPr>
          <w:rFonts w:ascii="Times New Roman" w:hAnsi="Times New Roman" w:cs="Times New Roman"/>
        </w:rPr>
        <w:t xml:space="preserve">8. Proprietary Rights. The Disclosing Party retains all of its intellectual property and other rights in its Confidential Information, and disclosing it to the Receiving Party grants no license under those rights other than the limited right to use the Confidential Information for the Purpose.</w:t>
      </w:r>
    </w:p>
    <w:p>
      <w:pPr>
        <w:spacing w:after="160"/>
      </w:pPr>
      <w:r>
        <w:rPr>
          <w:rFonts w:ascii="Times New Roman" w:hAnsi="Times New Roman" w:cs="Times New Roman"/>
        </w:rPr>
        <w:t xml:space="preserve">9. Disclaimer. ALL CONFIDENTIAL INFORMATION IS PROVIDED "AS IS", WITH ALL FAULTS, AND WITHOUT WARRANTIES, INCLUDING THE IMPLIED WARRANTIES OF TITLE, MERCHANTABILITY, AND FITNESS FOR A PARTICULAR PURPOSE.</w:t>
      </w:r>
    </w:p>
    <w:p>
      <w:pPr>
        <w:spacing w:after="160"/>
      </w:pPr>
      <w:r>
        <w:rPr>
          <w:rFonts w:ascii="Times New Roman" w:hAnsi="Times New Roman" w:cs="Times New Roman"/>
        </w:rPr>
        <w:t xml:space="preserve">10. Equitable Relief. A breach of this Agreement may cause irreparable harm for which monetary damages are an insufficient remedy. In the event of a breach of this Agreement, the Disclosing Party is entitled to seek appropriate equitable relief, including an injunction, in addition to its other remedies.</w:t>
      </w:r>
    </w:p>
    <w:p>
      <w:pPr>
        <w:spacing w:after="160"/>
      </w:pPr>
      <w:r>
        <w:rPr>
          <w:rFonts w:ascii="Times New Roman" w:hAnsi="Times New Roman" w:cs="Times New Roman"/>
        </w:rPr>
        <w:t xml:space="preserve">11. Governing Law and Jurisdiction. This Agreement and all matters relating to it are governed by, and construed in accordance with, the laws of Delaware, without regard to its conflict of laws provisions.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12. General. Neither Party is obligated under this Agreement to disclose Confidential Information to the other or to proceed with any proposed transaction. Neither Party may assign this Agreement without the other Party's prior written consent, except that either Party may assign it in connection with a merger, reorganization, acquisition, or other transfer of all or substantially all of its assets or voting securities, and any assignment in violation of this Section is null and void. This Agreement binds and benefits each Party's permitted successors and assigns. Waivers must be signed by the waiving Party's authorized representative and cannot be implied from conduct. If any provision of this Agreement is held unenforceable, it will be limited to the minimum extent necessary so the rest of this Agreement remains in effect. This Agreement constitutes the entire agreement of the Parties with respect to its subject matter and supersedes all prior and contemporaneous understandings, agreements, representations, and warranties, whether written or oral, regarding that subject matter. This Agreement may only be amended, modified, waived, or supplemented by a writing signed by both Parties. Notices, requests, and approvals under this Agreement must be sent in writing to the addresses stated above and are deemed delivered on receipt. This Agreement may be executed in counterparts, including electronic copies, each of which is deemed an original and which together constitute one and the same agreement.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Party A: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Party B: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