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PARTNERSHIP AGREEMENT</w:t>
      </w:r>
    </w:p>
    <w:p>
      <w:pPr>
        <w:spacing w:after="160"/>
      </w:pPr>
      <w:r>
        <w:rPr>
          <w:rFonts w:ascii="Times New Roman" w:hAnsi="Times New Roman" w:cs="Times New Roman"/>
        </w:rPr>
        <w:t xml:space="preserve">This Partnership Agreement (the "Agreement") is entered into as of [Effective Date] (the "Effective Date"), by and between:</w:t>
      </w:r>
    </w:p>
    <w:p>
      <w:pPr>
        <w:spacing w:after="160"/>
      </w:pPr>
      <w:r>
        <w:rPr>
          <w:rFonts w:ascii="Times New Roman" w:hAnsi="Times New Roman" w:cs="Times New Roman"/>
        </w:rPr>
        <w:t xml:space="preserve">[Party A], a corporation ("Partner A"), and</w:t>
      </w:r>
    </w:p>
    <w:p>
      <w:pPr>
        <w:spacing w:after="160"/>
      </w:pPr>
      <w:r>
        <w:rPr>
          <w:rFonts w:ascii="Times New Roman" w:hAnsi="Times New Roman" w:cs="Times New Roman"/>
        </w:rPr>
        <w:t xml:space="preserve">[Party B], a corporation ("Partner B").</w:t>
      </w:r>
    </w:p>
    <w:p>
      <w:pPr>
        <w:spacing w:after="160"/>
      </w:pPr>
      <w:r>
        <w:rPr>
          <w:rFonts w:ascii="Times New Roman" w:hAnsi="Times New Roman" w:cs="Times New Roman"/>
        </w:rPr>
        <w:t xml:space="preserve">Each may be referred to as a "Partner" and together as the "Partners." The Partners wish to carry on the business described below as a partnership on the terms of this Agreement.</w:t>
      </w:r>
    </w:p>
    <w:p>
      <w:pPr>
        <w:spacing w:after="160"/>
      </w:pPr>
      <w:r>
        <w:rPr>
          <w:rFonts w:ascii="Times New Roman" w:hAnsi="Times New Roman" w:cs="Times New Roman"/>
        </w:rPr>
        <w:t xml:space="preserve">1. Purpose. The Partners associate as co-owners to carry on [description of the partnership business] (the "Business") for profit. Each Partner is an agent of the partnership for carrying on the Business in the ordinary course. This Agreement does not create an employment relationship between the Partners.</w:t>
      </w:r>
    </w:p>
    <w:p>
      <w:pPr>
        <w:spacing w:after="160"/>
      </w:pPr>
      <w:r>
        <w:rPr>
          <w:rFonts w:ascii="Times New Roman" w:hAnsi="Times New Roman" w:cs="Times New Roman"/>
        </w:rPr>
        <w:t xml:space="preserve">2. Contributions. The Partners will contribute the following to the partnership: [description of each partner's contributions]. Additional capital calls require written agreement of the Partners.</w:t>
      </w:r>
    </w:p>
    <w:p>
      <w:pPr>
        <w:spacing w:after="160"/>
      </w:pPr>
      <w:r>
        <w:rPr>
          <w:rFonts w:ascii="Times New Roman" w:hAnsi="Times New Roman" w:cs="Times New Roman"/>
        </w:rPr>
        <w:t xml:space="preserve">3. Ownership and Profits. Ownership of the partnership is [ownership split]. Profits and losses are allocated in the same proportion unless the Partners agree otherwise in writing.</w:t>
      </w:r>
    </w:p>
    <w:p>
      <w:pPr>
        <w:spacing w:after="160"/>
      </w:pPr>
      <w:r>
        <w:rPr>
          <w:rFonts w:ascii="Times New Roman" w:hAnsi="Times New Roman" w:cs="Times New Roman"/>
        </w:rPr>
        <w:t xml:space="preserve">4. Management. Each Partner may take ordinary actions in the ordinary course of the Business. Major decisions require the unanimous consent of the Partners. Major decisions include admitting a new partner, selling substantially all assets, borrowing outside the ordinary course, and dissolving the partnership.</w:t>
      </w:r>
    </w:p>
    <w:p>
      <w:pPr>
        <w:spacing w:after="160"/>
      </w:pPr>
      <w:r>
        <w:rPr>
          <w:rFonts w:ascii="Times New Roman" w:hAnsi="Times New Roman" w:cs="Times New Roman"/>
        </w:rPr>
        <w:t xml:space="preserve">5. Term and Withdrawal. This Agreement begins on the Effective Date and continues until dissolved by written agreement or as required by law. A Partner may withdraw on 30 days' written notice. Withdrawal does not by itself require the partnership to wind up. The remaining Partner may continue the Business, and the withdrawing Partner is entitled to the amount that would have been distributable if the partnership were wound up as of the withdrawal date, paid within a commercially reasonable period.</w:t>
      </w:r>
    </w:p>
    <w:p>
      <w:pPr>
        <w:spacing w:after="160"/>
      </w:pPr>
      <w:r>
        <w:rPr>
          <w:rFonts w:ascii="Times New Roman" w:hAnsi="Times New Roman" w:cs="Times New Roman"/>
        </w:rPr>
        <w:t xml:space="preserve">6. Confidentiality. Each Partner will keep confidential the partnership's non-public business information and use it only for the Business, except for information that is public, independently developed, or required to be disclosed by law.</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partnership, may be amended only in a writing signed by both Partners, and may be signed in counterparts, including electronic copies. If a provision is unenforceable, the rest remains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Partner A: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Partner B: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